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
        </w:rPr>
      </w:pPr>
      <w:r>
        <w:rPr>
          <w:rFonts w:cs="Arial" w:ascii="Arial" w:hAnsi="Arial"/>
          <w:b/>
        </w:rPr>
        <w:t xml:space="preserve">One day Training workshop on Qualitative Research: </w:t>
      </w:r>
    </w:p>
    <w:p>
      <w:pPr>
        <w:pStyle w:val="Normal"/>
        <w:rPr>
          <w:rFonts w:ascii="Arial" w:hAnsi="Arial" w:cs="Arial"/>
          <w:b/>
          <w:b/>
        </w:rPr>
      </w:pPr>
      <w:r>
        <w:rPr>
          <w:rFonts w:cs="Arial" w:ascii="Arial" w:hAnsi="Arial"/>
          <w:b/>
        </w:rPr>
        <w:t>Date:</w:t>
      </w:r>
    </w:p>
    <w:p>
      <w:pPr>
        <w:pStyle w:val="Normal"/>
        <w:rPr>
          <w:rFonts w:ascii="Arial" w:hAnsi="Arial" w:cs="Arial"/>
          <w:b/>
          <w:b/>
        </w:rPr>
      </w:pPr>
      <w:r>
        <w:rPr>
          <w:rFonts w:cs="Arial" w:ascii="Arial" w:hAnsi="Arial"/>
          <w:b/>
        </w:rPr>
        <w:t>Venue:</w:t>
      </w:r>
    </w:p>
    <w:p>
      <w:pPr>
        <w:pStyle w:val="Normal"/>
        <w:jc w:val="both"/>
        <w:rPr/>
      </w:pPr>
      <w:r>
        <w:rPr>
          <w:rFonts w:cs="Arial" w:ascii="Arial" w:hAnsi="Arial"/>
        </w:rPr>
        <w:t>Qualitative research is now recognized as an important research methodology to answer clinical research questions. It can be used to understand patient’ and healthcare professionals’ behaviors, explore the needs of stakeholders of healthcare services, and explain outcomes of clinical trials. It helps to answer the ‘why’, ‘how’ and ‘what’ of a phenomenon.</w:t>
      </w:r>
    </w:p>
    <w:p>
      <w:pPr>
        <w:pStyle w:val="Normal"/>
        <w:jc w:val="both"/>
        <w:rPr/>
      </w:pPr>
      <w:r>
        <w:rPr>
          <w:rFonts w:cs="Arial" w:ascii="Arial" w:hAnsi="Arial"/>
        </w:rPr>
        <w:t xml:space="preserve">This workshop therefore aims to help researchers to understand what qualitative research is and guide them through the research process via lectures, role play and group exercise on various components of the research process under the guidance of the workshop facilitators. </w:t>
      </w:r>
    </w:p>
    <w:p>
      <w:pPr>
        <w:pStyle w:val="Normal"/>
        <w:jc w:val="both"/>
        <w:rPr/>
      </w:pPr>
      <w:r>
        <w:rPr>
          <w:rFonts w:cs="Arial" w:ascii="Arial" w:hAnsi="Arial"/>
        </w:rPr>
        <w:t>At the end of the workshop, the participant will be able to:</w:t>
      </w:r>
    </w:p>
    <w:p>
      <w:pPr>
        <w:pStyle w:val="ListParagraph"/>
        <w:numPr>
          <w:ilvl w:val="0"/>
          <w:numId w:val="2"/>
        </w:numPr>
        <w:jc w:val="both"/>
        <w:rPr/>
      </w:pPr>
      <w:r>
        <w:rPr>
          <w:rFonts w:cs="Arial" w:ascii="Arial" w:hAnsi="Arial"/>
        </w:rPr>
        <w:t>Understand the differences between qualitative and quantitative research.</w:t>
      </w:r>
    </w:p>
    <w:p>
      <w:pPr>
        <w:pStyle w:val="ListParagraph"/>
        <w:numPr>
          <w:ilvl w:val="0"/>
          <w:numId w:val="2"/>
        </w:numPr>
        <w:jc w:val="both"/>
        <w:rPr/>
      </w:pPr>
      <w:r>
        <w:rPr>
          <w:rFonts w:cs="Arial" w:ascii="Arial" w:hAnsi="Arial"/>
        </w:rPr>
        <w:t xml:space="preserve">Identify the different qualitative designs, </w:t>
      </w:r>
    </w:p>
    <w:p>
      <w:pPr>
        <w:pStyle w:val="ListParagraph"/>
        <w:numPr>
          <w:ilvl w:val="0"/>
          <w:numId w:val="2"/>
        </w:numPr>
        <w:jc w:val="both"/>
        <w:rPr>
          <w:rFonts w:ascii="Arial" w:hAnsi="Arial" w:cs="Arial"/>
        </w:rPr>
      </w:pPr>
      <w:r>
        <w:rPr>
          <w:rFonts w:cs="Arial" w:ascii="Arial" w:hAnsi="Arial"/>
        </w:rPr>
        <w:t xml:space="preserve">Acquire basic interviewing skills for in depth interviews and focus group discussion </w:t>
      </w:r>
    </w:p>
    <w:p>
      <w:pPr>
        <w:pStyle w:val="Normal"/>
        <w:jc w:val="both"/>
        <w:rPr>
          <w:rFonts w:ascii="Arial" w:hAnsi="Arial" w:cs="Arial"/>
          <w:b/>
          <w:b/>
          <w:vertAlign w:val="superscript"/>
        </w:rPr>
      </w:pPr>
      <w:r>
        <w:rPr>
          <w:rFonts w:cs="Arial" w:ascii="Arial" w:hAnsi="Arial"/>
          <w:b/>
          <w:vertAlign w:val="superscript"/>
        </w:rPr>
        <w:t>Introduction and semi-structured interviewing</w:t>
      </w:r>
    </w:p>
    <w:tbl>
      <w:tblPr>
        <w:tblW w:w="9558" w:type="dxa"/>
        <w:jc w:val="start"/>
        <w:tblInd w:w="-113" w:type="dxa"/>
        <w:tblLayout w:type="fixed"/>
        <w:tblCellMar>
          <w:top w:w="0" w:type="dxa"/>
          <w:start w:w="108" w:type="dxa"/>
          <w:bottom w:w="0" w:type="dxa"/>
          <w:end w:w="108" w:type="dxa"/>
        </w:tblCellMar>
      </w:tblPr>
      <w:tblGrid>
        <w:gridCol w:w="1818"/>
        <w:gridCol w:w="5850"/>
        <w:gridCol w:w="1890"/>
      </w:tblGrid>
      <w:tr>
        <w:trPr>
          <w:trHeight w:val="621" w:hRule="atLeast"/>
        </w:trPr>
        <w:tc>
          <w:tcPr>
            <w:tcW w:w="1818" w:type="dxa"/>
            <w:tcBorders>
              <w:top w:val="single" w:sz="4" w:space="0" w:color="000000"/>
              <w:start w:val="single" w:sz="4" w:space="0" w:color="000000"/>
              <w:bottom w:val="single" w:sz="4" w:space="0" w:color="000000"/>
              <w:end w:val="single" w:sz="4" w:space="0" w:color="000000"/>
            </w:tcBorders>
            <w:shd w:fill="DFDFDF" w:val="clear"/>
          </w:tcPr>
          <w:p>
            <w:pPr>
              <w:pStyle w:val="Normal"/>
              <w:spacing w:lineRule="auto" w:line="240" w:before="0" w:after="0"/>
              <w:rPr>
                <w:rFonts w:ascii="Arial" w:hAnsi="Arial" w:cs="Arial"/>
                <w:b/>
                <w:b/>
              </w:rPr>
            </w:pPr>
            <w:r>
              <w:rPr>
                <w:rFonts w:cs="Arial" w:ascii="Arial" w:hAnsi="Arial"/>
                <w:b/>
              </w:rPr>
              <w:t xml:space="preserve">Time </w:t>
            </w:r>
          </w:p>
        </w:tc>
        <w:tc>
          <w:tcPr>
            <w:tcW w:w="5850" w:type="dxa"/>
            <w:tcBorders>
              <w:top w:val="single" w:sz="4" w:space="0" w:color="000000"/>
              <w:start w:val="single" w:sz="4" w:space="0" w:color="000000"/>
              <w:bottom w:val="single" w:sz="4" w:space="0" w:color="000000"/>
              <w:end w:val="single" w:sz="4" w:space="0" w:color="000000"/>
            </w:tcBorders>
            <w:shd w:fill="DFDFDF" w:val="clear"/>
          </w:tcPr>
          <w:p>
            <w:pPr>
              <w:pStyle w:val="Normal"/>
              <w:spacing w:lineRule="auto" w:line="240" w:before="0" w:after="0"/>
              <w:rPr/>
            </w:pPr>
            <w:r>
              <w:rPr>
                <w:rFonts w:cs="Arial" w:ascii="Arial" w:hAnsi="Arial"/>
                <w:b/>
              </w:rPr>
              <w:t>Session</w:t>
            </w:r>
          </w:p>
          <w:p>
            <w:pPr>
              <w:pStyle w:val="Normal"/>
              <w:spacing w:lineRule="auto" w:line="240" w:before="0" w:after="0"/>
              <w:rPr>
                <w:rFonts w:ascii="Arial" w:hAnsi="Arial" w:cs="Arial"/>
                <w:b/>
                <w:b/>
              </w:rPr>
            </w:pPr>
            <w:r>
              <w:rPr>
                <w:rFonts w:cs="Arial" w:ascii="Arial" w:hAnsi="Arial"/>
                <w:b/>
              </w:rPr>
            </w:r>
          </w:p>
        </w:tc>
        <w:tc>
          <w:tcPr>
            <w:tcW w:w="1890" w:type="dxa"/>
            <w:tcBorders>
              <w:top w:val="single" w:sz="4" w:space="0" w:color="000000"/>
              <w:start w:val="single" w:sz="4" w:space="0" w:color="000000"/>
              <w:bottom w:val="single" w:sz="4" w:space="0" w:color="000000"/>
              <w:end w:val="single" w:sz="4" w:space="0" w:color="000000"/>
            </w:tcBorders>
            <w:shd w:fill="DFDFDF" w:val="clear"/>
          </w:tcPr>
          <w:p>
            <w:pPr>
              <w:pStyle w:val="Normal"/>
              <w:spacing w:lineRule="auto" w:line="240" w:before="0" w:after="0"/>
              <w:rPr>
                <w:rFonts w:ascii="Arial" w:hAnsi="Arial" w:cs="Arial"/>
                <w:b/>
                <w:b/>
              </w:rPr>
            </w:pPr>
            <w:r>
              <w:rPr>
                <w:rFonts w:cs="Arial" w:ascii="Arial" w:hAnsi="Arial"/>
                <w:b/>
              </w:rPr>
              <w:t xml:space="preserve">Speaker </w:t>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0830-0900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Registration </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rPr>
              <w:t>0900-1000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Ice breaker</w:t>
            </w:r>
          </w:p>
          <w:p>
            <w:pPr>
              <w:pStyle w:val="Normal"/>
              <w:spacing w:lineRule="auto" w:line="240" w:before="0" w:after="0"/>
              <w:rPr>
                <w:rFonts w:ascii="Arial" w:hAnsi="Arial" w:cs="Arial"/>
                <w:b/>
                <w:b/>
              </w:rPr>
            </w:pPr>
            <w:r>
              <w:rPr>
                <w:rFonts w:cs="Arial" w:ascii="Arial" w:hAnsi="Arial"/>
                <w:b/>
              </w:rPr>
              <w:t xml:space="preserve">Lecture 1: Introduction to qualitative research </w:t>
            </w:r>
          </w:p>
          <w:p>
            <w:pPr>
              <w:pStyle w:val="Normal"/>
              <w:spacing w:lineRule="auto" w:line="240" w:before="0" w:after="0"/>
              <w:rPr>
                <w:rFonts w:ascii="Arial" w:hAnsi="Arial" w:cs="Arial"/>
                <w:b/>
                <w:b/>
              </w:rPr>
            </w:pPr>
            <w:r>
              <w:rPr>
                <w:rFonts w:cs="Arial" w:ascii="Arial" w:hAnsi="Arial"/>
                <w:b/>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1000-1030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Exercise 1: Answering research question: Is qualitative research method appropriate?</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1030-1100</w:t>
            </w:r>
          </w:p>
        </w:tc>
        <w:tc>
          <w:tcPr>
            <w:tcW w:w="77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TEA</w:t>
            </w:r>
          </w:p>
          <w:p>
            <w:pPr>
              <w:pStyle w:val="Normal"/>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1100-1130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b/>
                <w:b/>
              </w:rPr>
            </w:pPr>
            <w:r>
              <w:rPr>
                <w:rFonts w:cs="Arial" w:ascii="Arial" w:hAnsi="Arial"/>
                <w:b/>
              </w:rPr>
              <w:t xml:space="preserve">Lecture 2: Introduction to qualitative research design </w:t>
            </w:r>
          </w:p>
          <w:p>
            <w:pPr>
              <w:pStyle w:val="Normal"/>
              <w:spacing w:lineRule="auto" w:line="240" w:before="0" w:after="0"/>
              <w:rPr>
                <w:rFonts w:ascii="Arial" w:hAnsi="Arial" w:cs="Arial"/>
                <w:b/>
                <w:b/>
                <w:color w:val="FF0000"/>
              </w:rPr>
            </w:pPr>
            <w:r>
              <w:rPr>
                <w:rFonts w:cs="Arial" w:ascii="Arial" w:hAnsi="Arial"/>
                <w:b/>
                <w:color w:val="FF0000"/>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color w:val="FF0000"/>
              </w:rPr>
            </w:pPr>
            <w:r>
              <w:rPr>
                <w:rFonts w:cs="Arial" w:ascii="Arial" w:hAnsi="Arial"/>
                <w:color w:val="FF0000"/>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1130-1200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rPr>
              <w:t xml:space="preserve">Exercise 2: Choosing a qualitative research design </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1200-1230 </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b/>
              </w:rPr>
              <w:t xml:space="preserve">Lecture 3: Preparing an interview guide </w:t>
            </w:r>
          </w:p>
          <w:p>
            <w:pPr>
              <w:pStyle w:val="Normal"/>
              <w:spacing w:lineRule="auto" w:line="240" w:before="0" w:after="0"/>
              <w:rPr>
                <w:rFonts w:ascii="Arial" w:hAnsi="Arial" w:cs="Arial"/>
                <w:b/>
                <w:b/>
              </w:rPr>
            </w:pPr>
            <w:r>
              <w:rPr>
                <w:rFonts w:cs="Arial" w:ascii="Arial" w:hAnsi="Arial"/>
                <w:b/>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1230-1300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Exercise 3: Evaluating an interview guide </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1300-1400</w:t>
            </w:r>
          </w:p>
        </w:tc>
        <w:tc>
          <w:tcPr>
            <w:tcW w:w="77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LUNCH </w:t>
            </w:r>
          </w:p>
          <w:p>
            <w:pPr>
              <w:pStyle w:val="Normal"/>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1400-1430</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b/>
              </w:rPr>
              <w:t xml:space="preserve">Lecture 4: How to conduct an in-depth interview </w:t>
            </w:r>
          </w:p>
          <w:p>
            <w:pPr>
              <w:pStyle w:val="Normal"/>
              <w:spacing w:lineRule="auto" w:line="240" w:before="0" w:after="0"/>
              <w:rPr>
                <w:rFonts w:ascii="Arial" w:hAnsi="Arial" w:cs="Arial"/>
                <w:b/>
                <w:b/>
              </w:rPr>
            </w:pPr>
            <w:r>
              <w:rPr>
                <w:rFonts w:cs="Arial" w:ascii="Arial" w:hAnsi="Arial"/>
                <w:b/>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1430-1515</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Exercise 4: Role play  Individual in depth  interview </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1515-15.45</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b/>
                <w:b/>
              </w:rPr>
            </w:pPr>
            <w:r>
              <w:rPr>
                <w:rFonts w:cs="Arial" w:ascii="Arial" w:hAnsi="Arial"/>
                <w:b/>
              </w:rPr>
              <w:t>Lecture 5: How to conduct a focus group discussion</w:t>
            </w:r>
          </w:p>
          <w:p>
            <w:pPr>
              <w:pStyle w:val="Normal"/>
              <w:spacing w:lineRule="auto" w:line="240" w:before="0" w:after="0"/>
              <w:rPr>
                <w:rFonts w:ascii="Arial" w:hAnsi="Arial" w:cs="Arial"/>
                <w:b/>
                <w:b/>
              </w:rPr>
            </w:pPr>
            <w:r>
              <w:rPr>
                <w:rFonts w:cs="Arial" w:ascii="Arial" w:hAnsi="Arial"/>
                <w:b/>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 xml:space="preserve">1545-1630 </w:t>
            </w:r>
          </w:p>
        </w:tc>
        <w:tc>
          <w:tcPr>
            <w:tcW w:w="58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cs="Arial" w:ascii="Arial" w:hAnsi="Arial"/>
              </w:rPr>
              <w:t>Exercise 5: Role play  focus group discussion</w:t>
            </w:r>
          </w:p>
          <w:p>
            <w:pPr>
              <w:pStyle w:val="Normal"/>
              <w:spacing w:lineRule="auto" w:line="240" w:before="0" w:after="0"/>
              <w:rPr>
                <w:rFonts w:ascii="Arial" w:hAnsi="Arial" w:cs="Arial"/>
              </w:rPr>
            </w:pPr>
            <w:r>
              <w:rPr>
                <w:rFonts w:cs="Arial" w:ascii="Arial" w:hAnsi="Arial"/>
              </w:rPr>
            </w:r>
          </w:p>
        </w:tc>
        <w:tc>
          <w:tcPr>
            <w:tcW w:w="18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before="0" w:after="0"/>
              <w:rPr>
                <w:rFonts w:ascii="Arial" w:hAnsi="Arial" w:cs="Arial"/>
              </w:rPr>
            </w:pPr>
            <w:r>
              <w:rPr>
                <w:rFonts w:cs="Arial" w:ascii="Arial" w:hAnsi="Arial"/>
              </w:rPr>
            </w:r>
          </w:p>
        </w:tc>
      </w:tr>
      <w:tr>
        <w:trPr/>
        <w:tc>
          <w:tcPr>
            <w:tcW w:w="18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1630-1700</w:t>
            </w:r>
          </w:p>
        </w:tc>
        <w:tc>
          <w:tcPr>
            <w:tcW w:w="774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Arial" w:hAnsi="Arial" w:cs="Arial"/>
              </w:rPr>
            </w:pPr>
            <w:r>
              <w:rPr>
                <w:rFonts w:cs="Arial" w:ascii="Arial" w:hAnsi="Arial"/>
              </w:rPr>
              <w:t>Closing and Tea</w:t>
            </w:r>
          </w:p>
          <w:p>
            <w:pPr>
              <w:pStyle w:val="Normal"/>
              <w:spacing w:lineRule="auto" w:line="240" w:before="0" w:after="0"/>
              <w:rPr>
                <w:rFonts w:ascii="Arial" w:hAnsi="Arial" w:cs="Arial"/>
              </w:rPr>
            </w:pPr>
            <w:r>
              <w:rPr>
                <w:rFonts w:cs="Arial" w:ascii="Arial" w:hAnsi="Arial"/>
              </w:rPr>
            </w:r>
          </w:p>
        </w:tc>
      </w:tr>
    </w:tbl>
    <w:p>
      <w:pPr>
        <w:pStyle w:val="Normal"/>
        <w:spacing w:before="0" w:after="200"/>
        <w:rPr>
          <w:b/>
          <w:b/>
          <w:color w:val="002060"/>
        </w:rPr>
      </w:pPr>
      <w:r>
        <w:rPr>
          <w:b/>
          <w:color w:val="002060"/>
        </w:rPr>
      </w:r>
    </w:p>
    <w:sectPr>
      <w:headerReference w:type="default" r:id="rId5"/>
      <w:headerReference w:type="first" r:id="rId6"/>
      <w:headerReference w:type="even" r:id="rId7"/>
      <w:type w:val="nextPage"/>
      <w:pgSz w:w="12240" w:h="15840"/>
      <w:pgMar w:left="1440" w:right="1440" w:gutter="0" w:header="0" w:top="1008" w:footer="0" w:bottom="8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Symbol">
    <w:charset w:val="02"/>
    <w:family w:val="decorative"/>
    <w:pitch w:val="variable"/>
  </w:font>
  <w:font w:name="Courier New">
    <w:charset w:val="00" w:characterSet="windows-1252"/>
    <w:family w:val="modern"/>
    <w:pitch w:val="default"/>
  </w:font>
  <w:font w:name="Wingdings">
    <w:charset w:val="00" w:characterSet="windows-1252"/>
    <w:family w:val="decorative"/>
    <w:pitch w:val="variable"/>
  </w:font>
  <w:font w:name="Tahoma">
    <w:charset w:val="00" w:characterSet="windows-1252"/>
    <w:family w:val="swiss"/>
    <w:pitch w:val="variable"/>
  </w:font>
  <w:font w:name="Liberation Sans">
    <w:altName w:val="Arial"/>
    <w:charset w:val="01" w:characterSet="utf-8"/>
    <w:family w:val="swiss"/>
    <w:pitch w:val="variable"/>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1" name="MELTImageWatermark900001"/>
          <wp:cNvGraphicFramePr/>
          <a:graphic>
            <a:graphicData uri="http://schemas.openxmlformats.org/drawingml/2006/picture">
              <pic:pic>
                <pic:nvPicPr>
                  <pic:cNvPr id="900001" name="MELTImageWatermark900001"/>
                  <pic:cNvPicPr/>
                </pic:nvPicPr>
                <pic:blipFill>
                  <a:blip r:embed="rId1"/>
                  <a:stretch>
                    <a:fillRect/>
                  </a:stretch>
                </pic:blipFill>
                <pic:spPr>
                  <a:xfrm>
                    <a:off x="0" y="0"/>
                    <a:ext cx="5943600" cy="5943600"/>
                  </a:xfrm>
                  <a:prstGeom prst="rect">
                    <a:avLst/>
                  </a:prstGeom>
                </pic:spPr>
              </pic:pic>
            </a:graphicData>
          </a:graphic>
        </wp:anchor>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2" name="MELTImageWatermark900002"/>
          <wp:cNvGraphicFramePr/>
          <a:graphic>
            <a:graphicData uri="http://schemas.openxmlformats.org/drawingml/2006/picture">
              <pic:pic>
                <pic:nvPicPr>
                  <pic:cNvPr id="900002" name="MELTImageWatermark900002"/>
                  <pic:cNvPicPr/>
                </pic:nvPicPr>
                <pic:blipFill>
                  <a:blip r:embed="rId1"/>
                  <a:stretch>
                    <a:fillRect/>
                  </a:stretch>
                </pic:blipFill>
                <pic:spPr>
                  <a:xfrm>
                    <a:off x="0" y="0"/>
                    <a:ext cx="5943600" cy="5943600"/>
                  </a:xfrm>
                  <a:prstGeom prst="rect">
                    <a:avLst/>
                  </a:prstGeom>
                </pic:spPr>
              </pic:pic>
            </a:graphicData>
          </a:graphic>
        </wp:anchor>
      </w:drawing>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jc w:val="center"/>
    </w:pPr>
    <w:r>
      <w:rPr>
        <w:noProof/>
      </w:rPr>
      <w:drawing>
        <wp:anchor xmlns:a="http://schemas.openxmlformats.org/drawingml/2006/main" xmlns:pic="http://schemas.openxmlformats.org/drawingml/2006/picture" behindDoc="1" distT="0" distB="0" distL="0" distR="0" simplePos="0" locked="0" layoutInCell="1" allowOverlap="1" relativeHeight="0">
          <wp:simplePos x="0" y="0"/>
          <wp:positionH relativeFrom="page">
            <wp:align>center</wp:align>
          </wp:positionH>
          <wp:positionV relativeFrom="page">
            <wp:align>center</wp:align>
          </wp:positionV>
          <wp:extent cx="5943600" cy="5943600"/>
          <wp:effectExtent l="0" t="0" r="0" b="0"/>
          <wp:wrapNone/>
          <wp:docPr id="900003" name="MELTImageWatermark900003"/>
          <wp:cNvGraphicFramePr/>
          <a:graphic>
            <a:graphicData uri="http://schemas.openxmlformats.org/drawingml/2006/picture">
              <pic:pic>
                <pic:nvPicPr>
                  <pic:cNvPr id="900003" name="MELTImageWatermark900003"/>
                  <pic:cNvPicPr/>
                </pic:nvPicPr>
                <pic:blipFill>
                  <a:blip r:embed="rId1"/>
                  <a:stretch>
                    <a:fillRect/>
                  </a:stretch>
                </pic:blipFill>
                <pic:spPr>
                  <a:xfrm>
                    <a:off x="0" y="0"/>
                    <a:ext cx="5943600" cy="59436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US" w:bidi="ar-SA" w:eastAsia="zh-CN"/>
    </w:rPr>
  </w:style>
  <w:style w:type="character" w:styleId="WW8Num1z0">
    <w:name w:val="WW8Num1z0"/>
    <w:qFormat/>
    <w:rPr>
      <w:rFonts w:ascii="Symbol" w:hAnsi="Symbol" w:cs="Symbol"/>
    </w:rPr>
  </w:style>
  <w:style w:type="character" w:styleId="WW8Num2z0">
    <w:name w:val="WW8Num2z0"/>
    <w:qFormat/>
    <w:rPr>
      <w:rFonts w:ascii="Calibri" w:hAnsi="Calibri" w:eastAsia="Calibri" w:cs="Calibri"/>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Calibri" w:hAnsi="Calibri" w:eastAsia="Calibri" w:cs="Calibri"/>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Arial" w:hAnsi="Arial" w:eastAsia="Calibri" w:cs="Aria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Calibri" w:hAnsi="Calibri" w:eastAsia="Calibri" w:cs="Calibri"/>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Calibri" w:hAnsi="Calibri" w:eastAsia="Calibri" w:cs="Calibri"/>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Calibri" w:hAnsi="Calibri" w:eastAsia="Calibri" w:cs="Calibri"/>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Calibri" w:hAnsi="Calibri" w:eastAsia="Calibri" w:cs="Calibri"/>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Calibri" w:hAnsi="Calibri" w:eastAsia="Calibri" w:cs="Calibri"/>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rFonts w:ascii="Calibri" w:hAnsi="Calibri" w:eastAsia="Calibri" w:cs="Calibri"/>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4z3">
    <w:name w:val="WW8Num14z3"/>
    <w:qFormat/>
    <w:rPr>
      <w:rFonts w:ascii="Symbol" w:hAnsi="Symbol" w:cs="Symbol"/>
    </w:rPr>
  </w:style>
  <w:style w:type="character" w:styleId="DefaultParagraphFont">
    <w:name w:val="Default Paragraph Font"/>
    <w:qFormat/>
    <w:rPr/>
  </w:style>
  <w:style w:type="character" w:styleId="BalloonTextChar">
    <w:name w:val="Balloon Text Char"/>
    <w:qFormat/>
    <w:rPr>
      <w:rFonts w:ascii="Tahoma" w:hAnsi="Tahoma" w:cs="Tahoma"/>
      <w:sz w:val="16"/>
      <w:szCs w:val="16"/>
      <w:lang w:val="en-US"/>
    </w:rPr>
  </w:style>
  <w:style w:type="character" w:styleId="CommentReference">
    <w:name w:val="Comment Reference"/>
    <w:qFormat/>
    <w:rPr>
      <w:sz w:val="16"/>
      <w:szCs w:val="16"/>
    </w:rPr>
  </w:style>
  <w:style w:type="character" w:styleId="CommentTextChar">
    <w:name w:val="Comment Text Char"/>
    <w:qFormat/>
    <w:rPr>
      <w:lang w:val="en-US"/>
    </w:rPr>
  </w:style>
  <w:style w:type="character" w:styleId="CommentSubjectChar">
    <w:name w:val="Comment Subject Char"/>
    <w:qFormat/>
    <w:rPr>
      <w:b/>
      <w:bCs/>
      <w:lang w:val="en-US"/>
    </w:rPr>
  </w:style>
  <w:style w:type="character" w:styleId="PageNumber">
    <w:name w:val="Page Number"/>
    <w:rPr>
      <w:color w:val="82786F"/>
    </w:rPr>
  </w:style>
  <w:style w:type="paragraph" w:styleId="Heading">
    <w:name w:val="Heading"/>
    <w:basedOn w:val="Normal"/>
    <w:next w:val="TextBody"/>
    <w:qFormat/>
    <w:pPr>
      <w:keepNext w:val="true"/>
      <w:spacing w:before="240" w:after="120"/>
    </w:pPr>
    <w:rPr>
      <w:rFonts w:ascii="Liberation Sans" w:hAnsi="Liberation Sans" w:eastAsia="WenQuanYi Zen Hei"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qFormat/>
    <w:pPr>
      <w:spacing w:before="0" w:after="200"/>
      <w:ind w:start="720" w:hanging="0"/>
      <w:contextualSpacing/>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Bullet">
    <w:name w:val="List Bullet"/>
    <w:basedOn w:val="Normal"/>
    <w:qFormat/>
    <w:pPr>
      <w:numPr>
        <w:ilvl w:val="0"/>
        <w:numId w:val="1"/>
      </w:numPr>
      <w:spacing w:before="0" w:after="200"/>
      <w:contextualSpacing/>
    </w:pPr>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LibreOffice/7.4.7.2$Linux_AARCH64 LibreOffice_project/40$Build-2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2022-08-16T12:18:00Z</dcterms:created>
  <dc:creator>katlim</dc:creator>
  <dc:description/>
  <cp:keywords/>
  <dc:language>en-US</dc:language>
  <cp:lastModifiedBy>Sumanth Kumbargere</cp:lastModifiedBy>
  <cp:lastPrinted>2019-06-11T09:48:00Z</cp:lastPrinted>
  <dcterms:modified xsi:type="dcterms:W3CDTF">2022-08-16T12:19:00Z</dcterms:modified>
  <cp:revision>3</cp:revision>
  <dc:subject/>
  <dc:title/>
</cp:coreProperties>
</file>